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14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197876B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02406D12"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D6FBA0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07.04.2025</w:t>
            </w:r>
          </w:p>
        </w:tc>
      </w:tr>
      <w:tr w:rsidR="00000000" w14:paraId="62E8F654"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7CA50CC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6F3C5427"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1E3EEDF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47</w:t>
            </w:r>
          </w:p>
        </w:tc>
      </w:tr>
      <w:tr w:rsidR="00000000" w14:paraId="476B9105" w14:textId="77777777">
        <w:tblPrEx>
          <w:tblCellMar>
            <w:top w:w="0" w:type="dxa"/>
            <w:bottom w:w="0" w:type="dxa"/>
          </w:tblCellMar>
        </w:tblPrEx>
        <w:trPr>
          <w:trHeight w:val="300"/>
        </w:trPr>
        <w:tc>
          <w:tcPr>
            <w:tcW w:w="5230" w:type="dxa"/>
            <w:tcBorders>
              <w:top w:val="nil"/>
              <w:left w:val="nil"/>
              <w:bottom w:val="nil"/>
              <w:right w:val="nil"/>
            </w:tcBorders>
            <w:vAlign w:val="bottom"/>
          </w:tcPr>
          <w:p w14:paraId="78754F2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04A749A8"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36AD9A68" w14:textId="77777777">
        <w:tblPrEx>
          <w:tblCellMar>
            <w:top w:w="0" w:type="dxa"/>
            <w:bottom w:w="0" w:type="dxa"/>
          </w:tblCellMar>
        </w:tblPrEx>
        <w:trPr>
          <w:trHeight w:val="300"/>
        </w:trPr>
        <w:tc>
          <w:tcPr>
            <w:tcW w:w="10465" w:type="dxa"/>
            <w:tcBorders>
              <w:top w:val="nil"/>
              <w:left w:val="nil"/>
              <w:bottom w:val="nil"/>
              <w:right w:val="nil"/>
            </w:tcBorders>
            <w:vAlign w:val="bottom"/>
          </w:tcPr>
          <w:p w14:paraId="20C1678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D0964F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52C20005"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2C743C9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024632C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5A1774D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50E9D61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35C7F2F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Беркович</w:t>
            </w:r>
            <w:proofErr w:type="spellEnd"/>
            <w:r>
              <w:rPr>
                <w:rFonts w:ascii="Times New Roman" w:hAnsi="Times New Roman" w:cs="Times New Roman"/>
                <w:kern w:val="0"/>
              </w:rPr>
              <w:t xml:space="preserve"> Л.І.</w:t>
            </w:r>
          </w:p>
        </w:tc>
      </w:tr>
      <w:tr w:rsidR="00000000" w14:paraId="4CF579CB" w14:textId="77777777">
        <w:tblPrEx>
          <w:tblCellMar>
            <w:top w:w="0" w:type="dxa"/>
            <w:bottom w:w="0" w:type="dxa"/>
          </w:tblCellMar>
        </w:tblPrEx>
        <w:trPr>
          <w:trHeight w:val="200"/>
        </w:trPr>
        <w:tc>
          <w:tcPr>
            <w:tcW w:w="3415" w:type="dxa"/>
            <w:tcBorders>
              <w:top w:val="nil"/>
              <w:left w:val="nil"/>
              <w:bottom w:val="nil"/>
              <w:right w:val="nil"/>
            </w:tcBorders>
          </w:tcPr>
          <w:p w14:paraId="7787A26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296EE49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1E439F1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33A037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03A430E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004E3319"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530AEB1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64E9ED95"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7D4C4AA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72D8436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6D9FA24F"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2022985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03186, </w:t>
      </w:r>
      <w:proofErr w:type="spellStart"/>
      <w:r>
        <w:rPr>
          <w:rFonts w:ascii="Times New Roman" w:hAnsi="Times New Roman" w:cs="Times New Roman"/>
          <w:kern w:val="0"/>
        </w:rPr>
        <w:t>м.Київ</w:t>
      </w:r>
      <w:proofErr w:type="spellEnd"/>
      <w:r>
        <w:rPr>
          <w:rFonts w:ascii="Times New Roman" w:hAnsi="Times New Roman" w:cs="Times New Roman"/>
          <w:kern w:val="0"/>
        </w:rPr>
        <w:t>, м. Київ, вул. Авіаконструктора Антонова, буд. 5</w:t>
      </w:r>
    </w:p>
    <w:p w14:paraId="6A3A8A1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62D030F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67F3CF7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0F6C0B7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3F007CE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10C50F0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72DF2ABB"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76772CEF"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3BD14F38" w14:textId="77777777">
        <w:tblPrEx>
          <w:tblCellMar>
            <w:top w:w="0" w:type="dxa"/>
            <w:bottom w:w="0" w:type="dxa"/>
          </w:tblCellMar>
        </w:tblPrEx>
        <w:trPr>
          <w:trHeight w:val="300"/>
        </w:trPr>
        <w:tc>
          <w:tcPr>
            <w:tcW w:w="3415" w:type="dxa"/>
            <w:vMerge w:val="restart"/>
            <w:tcBorders>
              <w:top w:val="nil"/>
              <w:left w:val="nil"/>
              <w:bottom w:val="nil"/>
              <w:right w:val="nil"/>
            </w:tcBorders>
          </w:tcPr>
          <w:p w14:paraId="5503C75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0D02E11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4283228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07.04.2025</w:t>
            </w:r>
          </w:p>
        </w:tc>
      </w:tr>
      <w:tr w:rsidR="00000000" w14:paraId="547291FA" w14:textId="77777777">
        <w:tblPrEx>
          <w:tblCellMar>
            <w:top w:w="0" w:type="dxa"/>
            <w:bottom w:w="0" w:type="dxa"/>
          </w:tblCellMar>
        </w:tblPrEx>
        <w:trPr>
          <w:trHeight w:val="300"/>
        </w:trPr>
        <w:tc>
          <w:tcPr>
            <w:tcW w:w="3415" w:type="dxa"/>
            <w:vMerge/>
            <w:tcBorders>
              <w:top w:val="nil"/>
              <w:left w:val="nil"/>
              <w:bottom w:val="nil"/>
              <w:right w:val="nil"/>
            </w:tcBorders>
          </w:tcPr>
          <w:p w14:paraId="67D8E29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0678E2F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66A7F51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A57121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095ECAC4" w14:textId="77777777" w:rsidR="00000000" w:rsidRPr="00ED1222" w:rsidRDefault="00000000">
      <w:pPr>
        <w:widowControl w:val="0"/>
        <w:autoSpaceDE w:val="0"/>
        <w:autoSpaceDN w:val="0"/>
        <w:adjustRightInd w:val="0"/>
        <w:spacing w:after="0" w:line="240" w:lineRule="auto"/>
        <w:jc w:val="center"/>
        <w:rPr>
          <w:rFonts w:ascii="Times New Roman" w:hAnsi="Times New Roman" w:cs="Times New Roman"/>
          <w:b/>
          <w:bCs/>
          <w:kern w:val="0"/>
        </w:rPr>
      </w:pPr>
      <w:r w:rsidRPr="00ED1222">
        <w:rPr>
          <w:rFonts w:ascii="Times New Roman" w:hAnsi="Times New Roman" w:cs="Times New Roman"/>
          <w:b/>
          <w:bCs/>
          <w:kern w:val="0"/>
        </w:rPr>
        <w:lastRenderedPageBreak/>
        <w:t>ВІДОМОСТІ</w:t>
      </w:r>
    </w:p>
    <w:p w14:paraId="149567B8" w14:textId="77777777" w:rsidR="00000000" w:rsidRPr="00ED1222" w:rsidRDefault="00000000">
      <w:pPr>
        <w:widowControl w:val="0"/>
        <w:autoSpaceDE w:val="0"/>
        <w:autoSpaceDN w:val="0"/>
        <w:adjustRightInd w:val="0"/>
        <w:spacing w:after="0" w:line="240" w:lineRule="auto"/>
        <w:jc w:val="center"/>
        <w:rPr>
          <w:rFonts w:ascii="Times New Roman" w:hAnsi="Times New Roman" w:cs="Times New Roman"/>
          <w:kern w:val="0"/>
        </w:rPr>
      </w:pPr>
      <w:r w:rsidRPr="00ED1222">
        <w:rPr>
          <w:rFonts w:ascii="Times New Roman" w:hAnsi="Times New Roman" w:cs="Times New Roman"/>
          <w:b/>
          <w:bCs/>
          <w:kern w:val="0"/>
        </w:rPr>
        <w:t>про зміну акціонерів, яким належать голосуючі акції, розмір пакета яких стає більшим, меншим або рівним пороговому значенню пакета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3900"/>
        <w:gridCol w:w="3000"/>
        <w:gridCol w:w="1500"/>
        <w:gridCol w:w="1500"/>
        <w:gridCol w:w="1500"/>
        <w:gridCol w:w="1500"/>
      </w:tblGrid>
      <w:tr w:rsidR="00000000" w14:paraId="574E2A2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48E1068"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19183FE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отримання інформації від  Центрального депозитарію цінних паперів або акціонера</w:t>
            </w:r>
          </w:p>
        </w:tc>
        <w:tc>
          <w:tcPr>
            <w:tcW w:w="3900" w:type="dxa"/>
            <w:tcBorders>
              <w:top w:val="single" w:sz="6" w:space="0" w:color="auto"/>
              <w:left w:val="single" w:sz="6" w:space="0" w:color="auto"/>
              <w:bottom w:val="single" w:sz="6" w:space="0" w:color="auto"/>
              <w:right w:val="single" w:sz="6" w:space="0" w:color="auto"/>
            </w:tcBorders>
            <w:vAlign w:val="center"/>
          </w:tcPr>
          <w:p w14:paraId="525907EA"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або повне найменування власника акцій</w:t>
            </w:r>
          </w:p>
        </w:tc>
        <w:tc>
          <w:tcPr>
            <w:tcW w:w="3000" w:type="dxa"/>
            <w:tcBorders>
              <w:top w:val="single" w:sz="6" w:space="0" w:color="auto"/>
              <w:left w:val="single" w:sz="6" w:space="0" w:color="auto"/>
              <w:bottom w:val="single" w:sz="6" w:space="0" w:color="auto"/>
              <w:right w:val="single" w:sz="6" w:space="0" w:color="auto"/>
            </w:tcBorders>
            <w:vAlign w:val="center"/>
          </w:tcPr>
          <w:p w14:paraId="3C918B4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Ідентифікаційний код юридичної особи юридичної особи - резидента або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 нерезидента</w:t>
            </w:r>
          </w:p>
        </w:tc>
        <w:tc>
          <w:tcPr>
            <w:tcW w:w="1500" w:type="dxa"/>
            <w:tcBorders>
              <w:top w:val="single" w:sz="6" w:space="0" w:color="auto"/>
              <w:left w:val="single" w:sz="6" w:space="0" w:color="auto"/>
              <w:bottom w:val="single" w:sz="6" w:space="0" w:color="auto"/>
              <w:right w:val="single" w:sz="6" w:space="0" w:color="auto"/>
            </w:tcBorders>
            <w:vAlign w:val="center"/>
          </w:tcPr>
          <w:p w14:paraId="3698F28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249C95F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УНЗР</w:t>
            </w:r>
          </w:p>
        </w:tc>
        <w:tc>
          <w:tcPr>
            <w:tcW w:w="1500" w:type="dxa"/>
            <w:tcBorders>
              <w:top w:val="single" w:sz="6" w:space="0" w:color="auto"/>
              <w:left w:val="single" w:sz="6" w:space="0" w:color="auto"/>
              <w:bottom w:val="single" w:sz="6" w:space="0" w:color="auto"/>
              <w:right w:val="single" w:sz="6" w:space="0" w:color="auto"/>
            </w:tcBorders>
            <w:vAlign w:val="center"/>
          </w:tcPr>
          <w:p w14:paraId="2632AAD5"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Розмір частки акціонера до зміни (у відсотках до статутного капіталу)</w:t>
            </w:r>
          </w:p>
        </w:tc>
        <w:tc>
          <w:tcPr>
            <w:tcW w:w="1500" w:type="dxa"/>
            <w:tcBorders>
              <w:top w:val="single" w:sz="6" w:space="0" w:color="auto"/>
              <w:left w:val="single" w:sz="6" w:space="0" w:color="auto"/>
              <w:bottom w:val="single" w:sz="6" w:space="0" w:color="auto"/>
            </w:tcBorders>
            <w:vAlign w:val="center"/>
          </w:tcPr>
          <w:p w14:paraId="00D06F65"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Розмір частки акціонера після зміни (у відсотках до статутного капіталу)</w:t>
            </w:r>
          </w:p>
        </w:tc>
      </w:tr>
      <w:tr w:rsidR="00000000" w14:paraId="196F723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CB3869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14:paraId="3E400AA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3900" w:type="dxa"/>
            <w:tcBorders>
              <w:top w:val="single" w:sz="6" w:space="0" w:color="auto"/>
              <w:left w:val="single" w:sz="6" w:space="0" w:color="auto"/>
              <w:bottom w:val="single" w:sz="6" w:space="0" w:color="auto"/>
              <w:right w:val="single" w:sz="6" w:space="0" w:color="auto"/>
            </w:tcBorders>
            <w:vAlign w:val="center"/>
          </w:tcPr>
          <w:p w14:paraId="39E6805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5AD750B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500" w:type="dxa"/>
            <w:tcBorders>
              <w:top w:val="single" w:sz="6" w:space="0" w:color="auto"/>
              <w:left w:val="single" w:sz="6" w:space="0" w:color="auto"/>
              <w:bottom w:val="single" w:sz="6" w:space="0" w:color="auto"/>
              <w:right w:val="single" w:sz="6" w:space="0" w:color="auto"/>
            </w:tcBorders>
            <w:vAlign w:val="center"/>
          </w:tcPr>
          <w:p w14:paraId="1141648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14:paraId="14B9C71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6</w:t>
            </w:r>
          </w:p>
        </w:tc>
        <w:tc>
          <w:tcPr>
            <w:tcW w:w="1500" w:type="dxa"/>
            <w:tcBorders>
              <w:top w:val="single" w:sz="6" w:space="0" w:color="auto"/>
              <w:left w:val="single" w:sz="6" w:space="0" w:color="auto"/>
              <w:bottom w:val="single" w:sz="6" w:space="0" w:color="auto"/>
              <w:right w:val="single" w:sz="6" w:space="0" w:color="auto"/>
            </w:tcBorders>
            <w:vAlign w:val="center"/>
          </w:tcPr>
          <w:p w14:paraId="36186EF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7</w:t>
            </w:r>
          </w:p>
        </w:tc>
        <w:tc>
          <w:tcPr>
            <w:tcW w:w="1500" w:type="dxa"/>
            <w:tcBorders>
              <w:top w:val="single" w:sz="6" w:space="0" w:color="auto"/>
              <w:left w:val="single" w:sz="6" w:space="0" w:color="auto"/>
              <w:bottom w:val="single" w:sz="6" w:space="0" w:color="auto"/>
            </w:tcBorders>
            <w:vAlign w:val="center"/>
          </w:tcPr>
          <w:p w14:paraId="6266B66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8</w:t>
            </w:r>
          </w:p>
        </w:tc>
      </w:tr>
      <w:tr w:rsidR="00000000" w14:paraId="6110154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637E878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tcPr>
          <w:p w14:paraId="0822C33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04.04.2025</w:t>
            </w:r>
          </w:p>
        </w:tc>
        <w:tc>
          <w:tcPr>
            <w:tcW w:w="3900" w:type="dxa"/>
            <w:tcBorders>
              <w:top w:val="single" w:sz="6" w:space="0" w:color="auto"/>
              <w:left w:val="single" w:sz="6" w:space="0" w:color="auto"/>
              <w:bottom w:val="single" w:sz="6" w:space="0" w:color="auto"/>
              <w:right w:val="single" w:sz="6" w:space="0" w:color="auto"/>
            </w:tcBorders>
          </w:tcPr>
          <w:p w14:paraId="38A858D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w:t>
            </w:r>
          </w:p>
        </w:tc>
        <w:tc>
          <w:tcPr>
            <w:tcW w:w="3000" w:type="dxa"/>
            <w:tcBorders>
              <w:top w:val="single" w:sz="6" w:space="0" w:color="auto"/>
              <w:left w:val="single" w:sz="6" w:space="0" w:color="auto"/>
              <w:bottom w:val="single" w:sz="6" w:space="0" w:color="auto"/>
              <w:right w:val="single" w:sz="6" w:space="0" w:color="auto"/>
            </w:tcBorders>
          </w:tcPr>
          <w:p w14:paraId="2D6528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 </w:t>
            </w:r>
          </w:p>
        </w:tc>
        <w:tc>
          <w:tcPr>
            <w:tcW w:w="1500" w:type="dxa"/>
            <w:tcBorders>
              <w:top w:val="single" w:sz="6" w:space="0" w:color="auto"/>
              <w:left w:val="single" w:sz="6" w:space="0" w:color="auto"/>
              <w:bottom w:val="single" w:sz="6" w:space="0" w:color="auto"/>
              <w:right w:val="single" w:sz="6" w:space="0" w:color="auto"/>
            </w:tcBorders>
          </w:tcPr>
          <w:p w14:paraId="1CE1650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1500" w:type="dxa"/>
            <w:tcBorders>
              <w:top w:val="single" w:sz="6" w:space="0" w:color="auto"/>
              <w:left w:val="single" w:sz="6" w:space="0" w:color="auto"/>
              <w:bottom w:val="single" w:sz="6" w:space="0" w:color="auto"/>
              <w:right w:val="single" w:sz="6" w:space="0" w:color="auto"/>
            </w:tcBorders>
          </w:tcPr>
          <w:p w14:paraId="0DEE449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1500" w:type="dxa"/>
            <w:tcBorders>
              <w:top w:val="single" w:sz="6" w:space="0" w:color="auto"/>
              <w:left w:val="single" w:sz="6" w:space="0" w:color="auto"/>
              <w:bottom w:val="single" w:sz="6" w:space="0" w:color="auto"/>
              <w:right w:val="single" w:sz="6" w:space="0" w:color="auto"/>
            </w:tcBorders>
          </w:tcPr>
          <w:p w14:paraId="08CB314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44,3333</w:t>
            </w:r>
          </w:p>
        </w:tc>
        <w:tc>
          <w:tcPr>
            <w:tcW w:w="1500" w:type="dxa"/>
            <w:tcBorders>
              <w:top w:val="single" w:sz="6" w:space="0" w:color="auto"/>
              <w:left w:val="single" w:sz="6" w:space="0" w:color="auto"/>
              <w:bottom w:val="single" w:sz="6" w:space="0" w:color="auto"/>
            </w:tcBorders>
          </w:tcPr>
          <w:p w14:paraId="762E160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99,9999</w:t>
            </w:r>
          </w:p>
        </w:tc>
      </w:tr>
      <w:tr w:rsidR="00000000" w14:paraId="5FA5526C"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410E60D3"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40050705"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6457D5E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Дата отримання інформації: 04.04.2025.</w:t>
            </w:r>
          </w:p>
          <w:p w14:paraId="18B68CA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Ім’я власника акцій, якому належать голосуючі акції, розмір пакета яких стає більшим, меншим або рівним пороговому значенню пакета акцій: </w:t>
            </w: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w:t>
            </w:r>
          </w:p>
          <w:p w14:paraId="2E3F05A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Дія (набуття або відчуження): набуття, яким чином (прямо або опосередковано) вона відбувалась: прямо.</w:t>
            </w:r>
          </w:p>
          <w:p w14:paraId="42C81AA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акцій до набуття: 44,3333%.</w:t>
            </w:r>
          </w:p>
          <w:p w14:paraId="11B43E3C"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акцій після набуття: 99,9999%.</w:t>
            </w:r>
          </w:p>
          <w:p w14:paraId="4AC4400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голосуючих акцій до набуття: 44,3333%.</w:t>
            </w:r>
          </w:p>
          <w:p w14:paraId="65D99AF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голосуючих акцій  після набуття: 100 %.</w:t>
            </w:r>
          </w:p>
          <w:p w14:paraId="681B060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Відомості про осіб (прізвище, ім'я, по батькові фізичної особи або найменування та ідентифікаційний код юридичної особи, відсоток прав голосу, якщо він дорівнює або перевищує порогове значення), які входять до ланцюга володіння корпоративними правами юридичної особи, через яких особа (особи, що діють спільно) здійснює(</w:t>
            </w:r>
            <w:proofErr w:type="spellStart"/>
            <w:r>
              <w:rPr>
                <w:rFonts w:ascii="Times New Roman" w:hAnsi="Times New Roman" w:cs="Times New Roman"/>
                <w:kern w:val="0"/>
                <w:sz w:val="20"/>
                <w:szCs w:val="20"/>
              </w:rPr>
              <w:t>ють</w:t>
            </w:r>
            <w:proofErr w:type="spellEnd"/>
            <w:r>
              <w:rPr>
                <w:rFonts w:ascii="Times New Roman" w:hAnsi="Times New Roman" w:cs="Times New Roman"/>
                <w:kern w:val="0"/>
                <w:sz w:val="20"/>
                <w:szCs w:val="20"/>
              </w:rPr>
              <w:t>) розпорядження акціями: відсутні.</w:t>
            </w:r>
          </w:p>
          <w:p w14:paraId="6FC3A7B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Дата, в яку порогові значення було досягнуто або </w:t>
            </w:r>
            <w:proofErr w:type="spellStart"/>
            <w:r>
              <w:rPr>
                <w:rFonts w:ascii="Times New Roman" w:hAnsi="Times New Roman" w:cs="Times New Roman"/>
                <w:kern w:val="0"/>
                <w:sz w:val="20"/>
                <w:szCs w:val="20"/>
              </w:rPr>
              <w:t>перетнуто</w:t>
            </w:r>
            <w:proofErr w:type="spellEnd"/>
            <w:r>
              <w:rPr>
                <w:rFonts w:ascii="Times New Roman" w:hAnsi="Times New Roman" w:cs="Times New Roman"/>
                <w:kern w:val="0"/>
                <w:sz w:val="20"/>
                <w:szCs w:val="20"/>
              </w:rPr>
              <w:t xml:space="preserve"> (за наявності): 03.04.2025.</w:t>
            </w:r>
          </w:p>
        </w:tc>
      </w:tr>
      <w:tr w:rsidR="00000000" w14:paraId="71120AE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1BEB1CD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000" w:type="dxa"/>
            <w:tcBorders>
              <w:top w:val="single" w:sz="6" w:space="0" w:color="auto"/>
              <w:left w:val="single" w:sz="6" w:space="0" w:color="auto"/>
              <w:bottom w:val="single" w:sz="6" w:space="0" w:color="auto"/>
              <w:right w:val="single" w:sz="6" w:space="0" w:color="auto"/>
            </w:tcBorders>
          </w:tcPr>
          <w:p w14:paraId="25BF202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04.04.2025</w:t>
            </w:r>
          </w:p>
        </w:tc>
        <w:tc>
          <w:tcPr>
            <w:tcW w:w="3900" w:type="dxa"/>
            <w:tcBorders>
              <w:top w:val="single" w:sz="6" w:space="0" w:color="auto"/>
              <w:left w:val="single" w:sz="6" w:space="0" w:color="auto"/>
              <w:bottom w:val="single" w:sz="6" w:space="0" w:color="auto"/>
              <w:right w:val="single" w:sz="6" w:space="0" w:color="auto"/>
            </w:tcBorders>
          </w:tcPr>
          <w:p w14:paraId="3041582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СКМ ФІНАНС ЛІМІТЕД (SCM FINANCE LIMITED), Кіпр</w:t>
            </w:r>
          </w:p>
        </w:tc>
        <w:tc>
          <w:tcPr>
            <w:tcW w:w="3000" w:type="dxa"/>
            <w:tcBorders>
              <w:top w:val="single" w:sz="6" w:space="0" w:color="auto"/>
              <w:left w:val="single" w:sz="6" w:space="0" w:color="auto"/>
              <w:bottom w:val="single" w:sz="6" w:space="0" w:color="auto"/>
              <w:right w:val="single" w:sz="6" w:space="0" w:color="auto"/>
            </w:tcBorders>
          </w:tcPr>
          <w:p w14:paraId="55DF9DC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195527</w:t>
            </w:r>
          </w:p>
        </w:tc>
        <w:tc>
          <w:tcPr>
            <w:tcW w:w="1500" w:type="dxa"/>
            <w:tcBorders>
              <w:top w:val="single" w:sz="6" w:space="0" w:color="auto"/>
              <w:left w:val="single" w:sz="6" w:space="0" w:color="auto"/>
              <w:bottom w:val="single" w:sz="6" w:space="0" w:color="auto"/>
              <w:right w:val="single" w:sz="6" w:space="0" w:color="auto"/>
            </w:tcBorders>
          </w:tcPr>
          <w:p w14:paraId="7EB5557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1500" w:type="dxa"/>
            <w:tcBorders>
              <w:top w:val="single" w:sz="6" w:space="0" w:color="auto"/>
              <w:left w:val="single" w:sz="6" w:space="0" w:color="auto"/>
              <w:bottom w:val="single" w:sz="6" w:space="0" w:color="auto"/>
              <w:right w:val="single" w:sz="6" w:space="0" w:color="auto"/>
            </w:tcBorders>
          </w:tcPr>
          <w:p w14:paraId="0D9D164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1500" w:type="dxa"/>
            <w:tcBorders>
              <w:top w:val="single" w:sz="6" w:space="0" w:color="auto"/>
              <w:left w:val="single" w:sz="6" w:space="0" w:color="auto"/>
              <w:bottom w:val="single" w:sz="6" w:space="0" w:color="auto"/>
              <w:right w:val="single" w:sz="6" w:space="0" w:color="auto"/>
            </w:tcBorders>
          </w:tcPr>
          <w:p w14:paraId="5E6C0CB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55,666668</w:t>
            </w:r>
          </w:p>
        </w:tc>
        <w:tc>
          <w:tcPr>
            <w:tcW w:w="1500" w:type="dxa"/>
            <w:tcBorders>
              <w:top w:val="single" w:sz="6" w:space="0" w:color="auto"/>
              <w:left w:val="single" w:sz="6" w:space="0" w:color="auto"/>
              <w:bottom w:val="single" w:sz="6" w:space="0" w:color="auto"/>
            </w:tcBorders>
          </w:tcPr>
          <w:p w14:paraId="723186E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000931CB"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5C3889BE"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4BD7C489"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7BC7DE3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Дата отримання інформації: 04.04.2025.</w:t>
            </w:r>
          </w:p>
          <w:p w14:paraId="3DA4909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Повне найменування власника акцій, який відчужив пакет акцій: СКМ ФІНАНС ЛІМІТЕД (SCM FINANCE LIMITED), Кіпр.</w:t>
            </w:r>
          </w:p>
          <w:p w14:paraId="6D4ACEC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Дія (набуття або відчуження): відчуження, яким чином (прямо або опосередковано) вона відбувалась: прямо.</w:t>
            </w:r>
          </w:p>
          <w:p w14:paraId="69EBD32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акцій до відчуження: 55,6666%.</w:t>
            </w:r>
          </w:p>
          <w:p w14:paraId="170F783A"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акцій після відчуження: 0%.</w:t>
            </w:r>
          </w:p>
          <w:p w14:paraId="4783F76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голосуючих акцій до відчуження: 55,6666%.</w:t>
            </w:r>
          </w:p>
          <w:p w14:paraId="2CB6017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власника акцій в загальній кількості голосуючих акцій після відчуження: 0 %.</w:t>
            </w:r>
          </w:p>
          <w:p w14:paraId="5D62A857"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Відомості про осіб (прізвище, ім'я, по батькові фізичної особи або найменування та ідентифікаційний код юридичної особи, відсоток прав голосу, якщо він дорівнює або перевищує порогове значення), які входять до ланцюга володіння корпоративними правами юридичної особи, через яких особа (особи, що діють спільно) здійснює(</w:t>
            </w:r>
            <w:proofErr w:type="spellStart"/>
            <w:r>
              <w:rPr>
                <w:rFonts w:ascii="Times New Roman" w:hAnsi="Times New Roman" w:cs="Times New Roman"/>
                <w:kern w:val="0"/>
                <w:sz w:val="20"/>
                <w:szCs w:val="20"/>
              </w:rPr>
              <w:t>ють</w:t>
            </w:r>
            <w:proofErr w:type="spellEnd"/>
            <w:r>
              <w:rPr>
                <w:rFonts w:ascii="Times New Roman" w:hAnsi="Times New Roman" w:cs="Times New Roman"/>
                <w:kern w:val="0"/>
                <w:sz w:val="20"/>
                <w:szCs w:val="20"/>
              </w:rPr>
              <w:t>) розпорядження акціями не надаються, тому що відбулося відчуження акцій.</w:t>
            </w:r>
          </w:p>
          <w:p w14:paraId="2CE0EC58"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Дата, в яку порогові значення було досягнуто або </w:t>
            </w:r>
            <w:proofErr w:type="spellStart"/>
            <w:r>
              <w:rPr>
                <w:rFonts w:ascii="Times New Roman" w:hAnsi="Times New Roman" w:cs="Times New Roman"/>
                <w:kern w:val="0"/>
                <w:sz w:val="20"/>
                <w:szCs w:val="20"/>
              </w:rPr>
              <w:t>перетнуто</w:t>
            </w:r>
            <w:proofErr w:type="spellEnd"/>
            <w:r>
              <w:rPr>
                <w:rFonts w:ascii="Times New Roman" w:hAnsi="Times New Roman" w:cs="Times New Roman"/>
                <w:kern w:val="0"/>
                <w:sz w:val="20"/>
                <w:szCs w:val="20"/>
              </w:rPr>
              <w:t xml:space="preserve"> (за наявності): 03.04.2025.</w:t>
            </w:r>
          </w:p>
        </w:tc>
      </w:tr>
    </w:tbl>
    <w:p w14:paraId="2F9B8A12" w14:textId="77777777" w:rsidR="000F18EC" w:rsidRDefault="000F18EC"/>
    <w:sectPr w:rsidR="000F18EC">
      <w:pgSz w:w="16837" w:h="11905" w:orient="landscape"/>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0C695" w14:textId="77777777" w:rsidR="000F18EC" w:rsidRDefault="000F18EC">
      <w:pPr>
        <w:spacing w:after="0" w:line="240" w:lineRule="auto"/>
      </w:pPr>
      <w:r>
        <w:separator/>
      </w:r>
    </w:p>
  </w:endnote>
  <w:endnote w:type="continuationSeparator" w:id="0">
    <w:p w14:paraId="228675B5" w14:textId="77777777" w:rsidR="000F18EC" w:rsidRDefault="000F1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639D"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ED1222">
      <w:rPr>
        <w:rFonts w:ascii="Times New Roman" w:hAnsi="Times New Roman" w:cs="Times New Roman"/>
        <w:kern w:val="0"/>
        <w:sz w:val="20"/>
        <w:szCs w:val="20"/>
        <w:lang w:val="ru-RU"/>
      </w:rPr>
      <w:fldChar w:fldCharType="separate"/>
    </w:r>
    <w:r w:rsidR="00ED1222">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D0072" w14:textId="77777777" w:rsidR="000F18EC" w:rsidRDefault="000F18EC">
      <w:pPr>
        <w:spacing w:after="0" w:line="240" w:lineRule="auto"/>
      </w:pPr>
      <w:r>
        <w:separator/>
      </w:r>
    </w:p>
  </w:footnote>
  <w:footnote w:type="continuationSeparator" w:id="0">
    <w:p w14:paraId="377753CD" w14:textId="77777777" w:rsidR="000F18EC" w:rsidRDefault="000F18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222"/>
    <w:rsid w:val="000F18EC"/>
    <w:rsid w:val="008358B3"/>
    <w:rsid w:val="00ED122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24182C"/>
  <w14:defaultImageDpi w14:val="0"/>
  <w15:docId w15:val="{BD53D41B-989D-4030-AAC4-FB99E545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3572</Words>
  <Characters>2037</Characters>
  <Application>Microsoft Office Word</Application>
  <DocSecurity>0</DocSecurity>
  <Lines>16</Lines>
  <Paragraphs>11</Paragraphs>
  <ScaleCrop>false</ScaleCrop>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2025-04-07T14:18:00Z</dcterms:created>
  <dcterms:modified xsi:type="dcterms:W3CDTF">2025-04-07T14:18:00Z</dcterms:modified>
</cp:coreProperties>
</file>